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B3" w:rsidRDefault="00BE14B3" w:rsidP="00BE14B3">
      <w:pPr>
        <w:spacing w:line="240" w:lineRule="auto"/>
        <w:jc w:val="center"/>
        <w:rPr>
          <w:sz w:val="20"/>
        </w:rPr>
      </w:pPr>
    </w:p>
    <w:p w:rsidR="00BE14B3" w:rsidRPr="00E96E5B" w:rsidRDefault="00BE14B3" w:rsidP="00BE14B3">
      <w:pPr>
        <w:spacing w:line="240" w:lineRule="auto"/>
        <w:jc w:val="center"/>
        <w:rPr>
          <w:sz w:val="20"/>
        </w:rPr>
      </w:pPr>
      <w:r>
        <w:rPr>
          <w:noProof/>
          <w:sz w:val="20"/>
          <w:lang w:eastAsia="ru-RU"/>
        </w:rPr>
        <w:drawing>
          <wp:anchor distT="47625" distB="47625" distL="47625" distR="47625" simplePos="0" relativeHeight="251767808" behindDoc="0" locked="0" layoutInCell="1" allowOverlap="0">
            <wp:simplePos x="0" y="0"/>
            <wp:positionH relativeFrom="column">
              <wp:posOffset>2473325</wp:posOffset>
            </wp:positionH>
            <wp:positionV relativeFrom="line">
              <wp:posOffset>-201930</wp:posOffset>
            </wp:positionV>
            <wp:extent cx="710565" cy="873125"/>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0565" cy="873125"/>
                    </a:xfrm>
                    <a:prstGeom prst="rect">
                      <a:avLst/>
                    </a:prstGeom>
                    <a:noFill/>
                  </pic:spPr>
                </pic:pic>
              </a:graphicData>
            </a:graphic>
          </wp:anchor>
        </w:drawing>
      </w:r>
    </w:p>
    <w:p w:rsidR="00BE14B3" w:rsidRPr="00E96E5B" w:rsidRDefault="00BE14B3" w:rsidP="00BE14B3">
      <w:pPr>
        <w:spacing w:line="240" w:lineRule="auto"/>
        <w:jc w:val="center"/>
        <w:rPr>
          <w:sz w:val="24"/>
        </w:rPr>
      </w:pPr>
    </w:p>
    <w:p w:rsidR="00BE14B3" w:rsidRPr="00E96E5B" w:rsidRDefault="00BE14B3" w:rsidP="00BE14B3">
      <w:pPr>
        <w:spacing w:line="240" w:lineRule="auto"/>
        <w:jc w:val="center"/>
      </w:pPr>
    </w:p>
    <w:p w:rsidR="00BE14B3" w:rsidRPr="00ED71E5" w:rsidRDefault="00BE14B3" w:rsidP="00BE14B3">
      <w:pPr>
        <w:pStyle w:val="ad"/>
        <w:jc w:val="center"/>
        <w:rPr>
          <w:b/>
          <w:sz w:val="40"/>
          <w:szCs w:val="40"/>
        </w:rPr>
      </w:pPr>
      <w:r w:rsidRPr="00ED71E5">
        <w:rPr>
          <w:b/>
          <w:sz w:val="40"/>
          <w:szCs w:val="40"/>
        </w:rPr>
        <w:t>П О С Т А Н О В Л Е Н И Е</w:t>
      </w:r>
    </w:p>
    <w:p w:rsidR="00BE14B3" w:rsidRPr="00ED71E5" w:rsidRDefault="00BE14B3" w:rsidP="00BE14B3">
      <w:pPr>
        <w:pStyle w:val="ad"/>
        <w:jc w:val="center"/>
        <w:rPr>
          <w:b/>
          <w:sz w:val="36"/>
          <w:szCs w:val="36"/>
        </w:rPr>
      </w:pPr>
      <w:r w:rsidRPr="00ED71E5">
        <w:rPr>
          <w:b/>
          <w:sz w:val="36"/>
          <w:szCs w:val="36"/>
        </w:rPr>
        <w:t>администрации городского поселения -</w:t>
      </w:r>
    </w:p>
    <w:p w:rsidR="00BE14B3" w:rsidRPr="00E96E5B" w:rsidRDefault="00BE14B3" w:rsidP="00BE14B3">
      <w:pPr>
        <w:pStyle w:val="ad"/>
        <w:jc w:val="center"/>
      </w:pPr>
      <w:r w:rsidRPr="00ED71E5">
        <w:rPr>
          <w:b/>
          <w:sz w:val="36"/>
          <w:szCs w:val="36"/>
        </w:rPr>
        <w:t>город  Богучар</w:t>
      </w:r>
    </w:p>
    <w:p w:rsidR="00BE14B3" w:rsidRPr="00ED71E5" w:rsidRDefault="00BE14B3" w:rsidP="00BE14B3">
      <w:pPr>
        <w:spacing w:line="240" w:lineRule="auto"/>
        <w:jc w:val="center"/>
        <w:rPr>
          <w:b/>
          <w:sz w:val="16"/>
          <w:szCs w:val="16"/>
        </w:rPr>
      </w:pPr>
    </w:p>
    <w:p w:rsidR="00BE14B3" w:rsidRPr="00E96E5B" w:rsidRDefault="009B6C36" w:rsidP="00BE14B3">
      <w:pPr>
        <w:spacing w:line="240" w:lineRule="auto"/>
        <w:rPr>
          <w:sz w:val="24"/>
          <w:szCs w:val="24"/>
        </w:rPr>
      </w:pPr>
      <w:r>
        <w:rPr>
          <w:sz w:val="24"/>
          <w:szCs w:val="24"/>
        </w:rPr>
        <w:pict>
          <v:line id="_x0000_s1110" style="position:absolute;z-index:251766784" from="0,0" to="468pt,0" strokeweight="4.25pt">
            <v:stroke linestyle="thinThick"/>
          </v:line>
        </w:pict>
      </w:r>
    </w:p>
    <w:p w:rsidR="00BE14B3" w:rsidRPr="005E3C10" w:rsidRDefault="005E3C10" w:rsidP="00BE14B3">
      <w:pPr>
        <w:spacing w:line="240" w:lineRule="auto"/>
        <w:rPr>
          <w:rFonts w:ascii="Times New Roman" w:hAnsi="Times New Roman" w:cs="Times New Roman"/>
          <w:sz w:val="24"/>
          <w:szCs w:val="24"/>
        </w:rPr>
      </w:pPr>
      <w:r w:rsidRPr="005E3C10">
        <w:rPr>
          <w:rFonts w:ascii="Times New Roman" w:hAnsi="Times New Roman" w:cs="Times New Roman"/>
          <w:sz w:val="24"/>
          <w:szCs w:val="24"/>
        </w:rPr>
        <w:t xml:space="preserve">от </w:t>
      </w:r>
      <w:r w:rsidR="00BE14B3" w:rsidRPr="005E3C10">
        <w:rPr>
          <w:rFonts w:ascii="Times New Roman" w:hAnsi="Times New Roman" w:cs="Times New Roman"/>
          <w:sz w:val="24"/>
          <w:szCs w:val="24"/>
        </w:rPr>
        <w:t>«</w:t>
      </w:r>
      <w:r w:rsidR="001630B4">
        <w:rPr>
          <w:rFonts w:ascii="Times New Roman" w:hAnsi="Times New Roman" w:cs="Times New Roman"/>
          <w:sz w:val="24"/>
          <w:szCs w:val="24"/>
        </w:rPr>
        <w:t>02</w:t>
      </w:r>
      <w:r w:rsidR="00BE14B3" w:rsidRPr="005E3C10">
        <w:rPr>
          <w:rFonts w:ascii="Times New Roman" w:hAnsi="Times New Roman" w:cs="Times New Roman"/>
          <w:sz w:val="24"/>
          <w:szCs w:val="24"/>
        </w:rPr>
        <w:t xml:space="preserve">» </w:t>
      </w:r>
      <w:r w:rsidR="001630B4">
        <w:rPr>
          <w:rFonts w:ascii="Times New Roman" w:hAnsi="Times New Roman" w:cs="Times New Roman"/>
          <w:sz w:val="24"/>
          <w:szCs w:val="24"/>
        </w:rPr>
        <w:t>октября</w:t>
      </w:r>
      <w:r w:rsidR="00BE14B3" w:rsidRPr="005E3C10">
        <w:rPr>
          <w:rFonts w:ascii="Times New Roman" w:hAnsi="Times New Roman" w:cs="Times New Roman"/>
          <w:sz w:val="24"/>
          <w:szCs w:val="24"/>
        </w:rPr>
        <w:t xml:space="preserve">2015 года  №  </w:t>
      </w:r>
      <w:r w:rsidR="001630B4">
        <w:rPr>
          <w:rFonts w:ascii="Times New Roman" w:hAnsi="Times New Roman" w:cs="Times New Roman"/>
          <w:sz w:val="24"/>
          <w:szCs w:val="24"/>
        </w:rPr>
        <w:t>246</w:t>
      </w:r>
      <w:r w:rsidR="00BE14B3" w:rsidRPr="005E3C10">
        <w:rPr>
          <w:rFonts w:ascii="Times New Roman" w:hAnsi="Times New Roman" w:cs="Times New Roman"/>
          <w:sz w:val="24"/>
          <w:szCs w:val="24"/>
        </w:rPr>
        <w:t xml:space="preserve">                   </w:t>
      </w:r>
      <w:r w:rsidR="001630B4">
        <w:rPr>
          <w:rFonts w:ascii="Times New Roman" w:hAnsi="Times New Roman" w:cs="Times New Roman"/>
          <w:sz w:val="24"/>
          <w:szCs w:val="24"/>
        </w:rPr>
        <w:t xml:space="preserve">                 </w:t>
      </w:r>
      <w:r w:rsidR="00BE14B3" w:rsidRPr="005E3C10">
        <w:rPr>
          <w:rFonts w:ascii="Times New Roman" w:hAnsi="Times New Roman" w:cs="Times New Roman"/>
          <w:sz w:val="24"/>
          <w:szCs w:val="24"/>
        </w:rPr>
        <w:t xml:space="preserve">                                          г. Богучар</w:t>
      </w:r>
    </w:p>
    <w:p w:rsidR="00BE14B3" w:rsidRPr="00076D2D" w:rsidRDefault="00BE14B3" w:rsidP="00BE14B3">
      <w:pPr>
        <w:pStyle w:val="ad"/>
        <w:jc w:val="both"/>
        <w:rPr>
          <w:color w:val="auto"/>
        </w:rPr>
      </w:pPr>
    </w:p>
    <w:p w:rsidR="00B51CF2" w:rsidRDefault="00BE14B3" w:rsidP="00BE14B3">
      <w:pPr>
        <w:pStyle w:val="ad"/>
        <w:rPr>
          <w:color w:val="auto"/>
        </w:rPr>
      </w:pPr>
      <w:r w:rsidRPr="00076D2D">
        <w:rPr>
          <w:color w:val="auto"/>
        </w:rPr>
        <w:t>Об утверждении административного</w:t>
      </w:r>
      <w:r w:rsidR="00B51CF2">
        <w:rPr>
          <w:color w:val="auto"/>
        </w:rPr>
        <w:t xml:space="preserve"> </w:t>
      </w:r>
      <w:r w:rsidRPr="00076D2D">
        <w:rPr>
          <w:color w:val="auto"/>
        </w:rPr>
        <w:t xml:space="preserve">регламента </w:t>
      </w:r>
    </w:p>
    <w:p w:rsidR="00B51CF2" w:rsidRDefault="00BE14B3" w:rsidP="00B51CF2">
      <w:pPr>
        <w:pStyle w:val="ad"/>
        <w:rPr>
          <w:color w:val="auto"/>
        </w:rPr>
      </w:pPr>
      <w:r>
        <w:rPr>
          <w:color w:val="auto"/>
        </w:rPr>
        <w:t xml:space="preserve">по </w:t>
      </w:r>
      <w:r w:rsidRPr="00076D2D">
        <w:rPr>
          <w:color w:val="auto"/>
        </w:rPr>
        <w:t>предоставлени</w:t>
      </w:r>
      <w:r>
        <w:rPr>
          <w:color w:val="auto"/>
        </w:rPr>
        <w:t>ю</w:t>
      </w:r>
      <w:r w:rsidRPr="00076D2D">
        <w:rPr>
          <w:color w:val="auto"/>
        </w:rPr>
        <w:t xml:space="preserve"> муниципальной</w:t>
      </w:r>
      <w:r w:rsidR="00B51CF2">
        <w:rPr>
          <w:color w:val="auto"/>
        </w:rPr>
        <w:t xml:space="preserve"> </w:t>
      </w:r>
      <w:r w:rsidRPr="00076D2D">
        <w:rPr>
          <w:color w:val="auto"/>
        </w:rPr>
        <w:t xml:space="preserve">услуги </w:t>
      </w:r>
    </w:p>
    <w:p w:rsidR="00B51CF2" w:rsidRDefault="00BE14B3" w:rsidP="00B51CF2">
      <w:pPr>
        <w:pStyle w:val="ad"/>
        <w:rPr>
          <w:color w:val="auto"/>
          <w:kern w:val="36"/>
          <w:lang w:eastAsia="ru-RU"/>
        </w:rPr>
      </w:pPr>
      <w:r w:rsidRPr="00076D2D">
        <w:rPr>
          <w:color w:val="auto"/>
        </w:rPr>
        <w:t>«</w:t>
      </w:r>
      <w:r w:rsidR="00B51CF2">
        <w:rPr>
          <w:color w:val="auto"/>
        </w:rPr>
        <w:t>П</w:t>
      </w:r>
      <w:r w:rsidR="00B51CF2">
        <w:rPr>
          <w:color w:val="auto"/>
          <w:kern w:val="36"/>
          <w:lang w:eastAsia="ru-RU"/>
        </w:rPr>
        <w:t>редварительное согласование предоставления</w:t>
      </w:r>
    </w:p>
    <w:p w:rsidR="00B51CF2" w:rsidRDefault="00B51CF2" w:rsidP="00B51CF2">
      <w:pPr>
        <w:pStyle w:val="ad"/>
        <w:rPr>
          <w:color w:val="auto"/>
          <w:kern w:val="36"/>
          <w:lang w:eastAsia="ru-RU"/>
        </w:rPr>
      </w:pPr>
      <w:r>
        <w:rPr>
          <w:color w:val="auto"/>
          <w:kern w:val="36"/>
          <w:lang w:eastAsia="ru-RU"/>
        </w:rPr>
        <w:t xml:space="preserve">земельного участка, находящегося в муниципальной </w:t>
      </w:r>
    </w:p>
    <w:p w:rsidR="00B51CF2" w:rsidRDefault="00B51CF2" w:rsidP="00B51CF2">
      <w:pPr>
        <w:pStyle w:val="ad"/>
        <w:rPr>
          <w:color w:val="auto"/>
          <w:kern w:val="36"/>
          <w:lang w:eastAsia="ru-RU"/>
        </w:rPr>
      </w:pPr>
      <w:r>
        <w:rPr>
          <w:color w:val="auto"/>
          <w:kern w:val="36"/>
          <w:lang w:eastAsia="ru-RU"/>
        </w:rPr>
        <w:t>собственности или государственная собственность</w:t>
      </w:r>
    </w:p>
    <w:p w:rsidR="00BE14B3" w:rsidRPr="00076D2D" w:rsidRDefault="00B51CF2" w:rsidP="00B51CF2">
      <w:pPr>
        <w:pStyle w:val="ad"/>
        <w:rPr>
          <w:color w:val="auto"/>
        </w:rPr>
      </w:pPr>
      <w:r>
        <w:rPr>
          <w:color w:val="auto"/>
          <w:kern w:val="36"/>
          <w:lang w:eastAsia="ru-RU"/>
        </w:rPr>
        <w:t>на который не разграничена</w:t>
      </w:r>
      <w:r w:rsidR="00BE14B3" w:rsidRPr="00076D2D">
        <w:rPr>
          <w:color w:val="auto"/>
        </w:rPr>
        <w:t>»</w:t>
      </w:r>
    </w:p>
    <w:p w:rsidR="00BE14B3" w:rsidRPr="00076D2D" w:rsidRDefault="00BE14B3" w:rsidP="00BE14B3">
      <w:pPr>
        <w:pStyle w:val="ad"/>
        <w:rPr>
          <w:color w:val="auto"/>
        </w:rPr>
      </w:pPr>
    </w:p>
    <w:p w:rsidR="00BE14B3" w:rsidRPr="00461362" w:rsidRDefault="00BE14B3" w:rsidP="00BE14B3">
      <w:pPr>
        <w:spacing w:line="255" w:lineRule="atLeast"/>
        <w:ind w:firstLine="993"/>
        <w:jc w:val="both"/>
        <w:rPr>
          <w:rFonts w:ascii="Times New Roman" w:hAnsi="Times New Roman" w:cs="Times New Roman"/>
          <w:color w:val="1E1E1E"/>
          <w:sz w:val="28"/>
          <w:szCs w:val="28"/>
        </w:rPr>
      </w:pPr>
      <w:r w:rsidRPr="00076D2D">
        <w:t xml:space="preserve"> </w:t>
      </w:r>
      <w:r w:rsidRPr="00461362">
        <w:rPr>
          <w:rFonts w:ascii="Times New Roman" w:hAnsi="Times New Roman" w:cs="Times New Roman"/>
          <w:sz w:val="28"/>
          <w:szCs w:val="28"/>
        </w:rPr>
        <w:t xml:space="preserve">В </w:t>
      </w:r>
      <w:r w:rsidRPr="00461362">
        <w:rPr>
          <w:rStyle w:val="FontStyle11"/>
          <w:sz w:val="28"/>
          <w:szCs w:val="28"/>
        </w:rPr>
        <w:t xml:space="preserve">соответствии с Федеральными законами: от 06.10.2003 № 131 - ФЗ «Об общих принципах организации местного самоуправления в Российской Федерации», </w:t>
      </w:r>
      <w:r w:rsidRPr="00461362">
        <w:rPr>
          <w:rFonts w:ascii="Times New Roman" w:hAnsi="Times New Roman" w:cs="Times New Roman"/>
          <w:sz w:val="28"/>
          <w:szCs w:val="28"/>
        </w:rPr>
        <w:t xml:space="preserve">от 27.07.2010 № 210-ФЗ «Об организации предоставления государственных и муниципальных услуг», уставом </w:t>
      </w:r>
      <w:r w:rsidRPr="00461362">
        <w:rPr>
          <w:rFonts w:ascii="Times New Roman" w:hAnsi="Times New Roman" w:cs="Times New Roman"/>
          <w:color w:val="1E1E1E"/>
          <w:sz w:val="28"/>
          <w:szCs w:val="28"/>
        </w:rPr>
        <w:t xml:space="preserve">городского поселения – город Богучар, администрация  городского поселения – город Богучар </w:t>
      </w:r>
      <w:r w:rsidRPr="00461362">
        <w:rPr>
          <w:rFonts w:ascii="Times New Roman" w:hAnsi="Times New Roman" w:cs="Times New Roman"/>
          <w:b/>
          <w:color w:val="1E1E1E"/>
          <w:sz w:val="28"/>
          <w:szCs w:val="28"/>
        </w:rPr>
        <w:t>постановляет:</w:t>
      </w:r>
      <w:r w:rsidRPr="00461362">
        <w:rPr>
          <w:rStyle w:val="apple-converted-space"/>
          <w:rFonts w:ascii="Times New Roman" w:hAnsi="Times New Roman" w:cs="Times New Roman"/>
          <w:color w:val="1E1E1E"/>
          <w:sz w:val="28"/>
          <w:szCs w:val="28"/>
        </w:rPr>
        <w:t> </w:t>
      </w:r>
      <w:r w:rsidRPr="00461362">
        <w:rPr>
          <w:rFonts w:ascii="Times New Roman" w:hAnsi="Times New Roman" w:cs="Times New Roman"/>
          <w:sz w:val="28"/>
          <w:szCs w:val="28"/>
        </w:rPr>
        <w:t xml:space="preserve"> </w:t>
      </w:r>
    </w:p>
    <w:p w:rsidR="00BE14B3" w:rsidRPr="00461362" w:rsidRDefault="00BE14B3" w:rsidP="00B51CF2">
      <w:pPr>
        <w:pStyle w:val="ad"/>
        <w:tabs>
          <w:tab w:val="left" w:pos="1276"/>
          <w:tab w:val="left" w:pos="1418"/>
        </w:tabs>
        <w:ind w:firstLine="993"/>
        <w:jc w:val="both"/>
        <w:rPr>
          <w:color w:val="auto"/>
        </w:rPr>
      </w:pPr>
      <w:r w:rsidRPr="00461362">
        <w:rPr>
          <w:color w:val="auto"/>
        </w:rPr>
        <w:t xml:space="preserve"> 1. Утвердить административный регламент по предоставлению муниципальной услуги «</w:t>
      </w:r>
      <w:r w:rsidR="00B51CF2">
        <w:rPr>
          <w:color w:val="auto"/>
          <w:kern w:val="36"/>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461362">
        <w:rPr>
          <w:color w:val="auto"/>
        </w:rPr>
        <w:t xml:space="preserve">»,  согласно приложению.   </w:t>
      </w:r>
    </w:p>
    <w:p w:rsidR="00BE14B3" w:rsidRPr="00461362" w:rsidRDefault="00BE14B3" w:rsidP="00BE14B3">
      <w:pPr>
        <w:tabs>
          <w:tab w:val="left" w:pos="10080"/>
        </w:tabs>
        <w:suppressAutoHyphens/>
        <w:ind w:firstLine="993"/>
        <w:jc w:val="both"/>
        <w:rPr>
          <w:rFonts w:ascii="Times New Roman" w:hAnsi="Times New Roman" w:cs="Times New Roman"/>
          <w:color w:val="1E1E1E"/>
          <w:sz w:val="28"/>
          <w:szCs w:val="28"/>
        </w:rPr>
      </w:pPr>
      <w:r w:rsidRPr="00461362">
        <w:rPr>
          <w:rFonts w:ascii="Times New Roman" w:hAnsi="Times New Roman" w:cs="Times New Roman"/>
          <w:sz w:val="28"/>
          <w:szCs w:val="28"/>
        </w:rPr>
        <w:t xml:space="preserve">2. </w:t>
      </w:r>
      <w:r w:rsidRPr="00461362">
        <w:rPr>
          <w:rFonts w:ascii="Times New Roman" w:hAnsi="Times New Roman" w:cs="Times New Roman"/>
          <w:color w:val="1E1E1E"/>
          <w:sz w:val="28"/>
          <w:szCs w:val="28"/>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BE14B3" w:rsidRDefault="00BE14B3" w:rsidP="00BE14B3">
      <w:pPr>
        <w:pStyle w:val="ad"/>
        <w:jc w:val="both"/>
        <w:rPr>
          <w:rStyle w:val="apple-converted-space"/>
          <w:color w:val="1E1E1E"/>
        </w:rPr>
      </w:pPr>
    </w:p>
    <w:p w:rsidR="002141EB" w:rsidRPr="00461362" w:rsidRDefault="002141EB" w:rsidP="00BE14B3">
      <w:pPr>
        <w:pStyle w:val="ad"/>
        <w:jc w:val="both"/>
        <w:rPr>
          <w:rStyle w:val="apple-converted-space"/>
          <w:color w:val="1E1E1E"/>
        </w:rPr>
      </w:pPr>
    </w:p>
    <w:p w:rsidR="00BE14B3" w:rsidRDefault="002141EB" w:rsidP="00BE14B3">
      <w:pPr>
        <w:pStyle w:val="ad"/>
        <w:jc w:val="both"/>
        <w:rPr>
          <w:rStyle w:val="apple-converted-space"/>
          <w:color w:val="1E1E1E"/>
        </w:rPr>
      </w:pPr>
      <w:r>
        <w:rPr>
          <w:rStyle w:val="apple-converted-space"/>
          <w:color w:val="1E1E1E"/>
        </w:rPr>
        <w:t>Исполняющий обязанности главы</w:t>
      </w:r>
    </w:p>
    <w:p w:rsidR="00BE14B3" w:rsidRPr="00461362" w:rsidRDefault="002141EB" w:rsidP="00BE14B3">
      <w:pPr>
        <w:pStyle w:val="a7"/>
        <w:rPr>
          <w:szCs w:val="28"/>
        </w:rPr>
      </w:pPr>
      <w:r>
        <w:rPr>
          <w:szCs w:val="28"/>
        </w:rPr>
        <w:t>администрации</w:t>
      </w:r>
      <w:r w:rsidR="00BE14B3" w:rsidRPr="00461362">
        <w:rPr>
          <w:szCs w:val="28"/>
        </w:rPr>
        <w:t xml:space="preserve"> городского поселения – </w:t>
      </w:r>
    </w:p>
    <w:p w:rsidR="00BE14B3" w:rsidRPr="00461362" w:rsidRDefault="00BE14B3" w:rsidP="00BE14B3">
      <w:pPr>
        <w:rPr>
          <w:rFonts w:ascii="Times New Roman" w:hAnsi="Times New Roman" w:cs="Times New Roman"/>
          <w:kern w:val="36"/>
          <w:sz w:val="28"/>
          <w:szCs w:val="28"/>
          <w:lang w:eastAsia="ru-RU"/>
        </w:rPr>
      </w:pPr>
      <w:r w:rsidRPr="00461362">
        <w:rPr>
          <w:rFonts w:ascii="Times New Roman" w:hAnsi="Times New Roman" w:cs="Times New Roman"/>
          <w:sz w:val="28"/>
          <w:szCs w:val="28"/>
        </w:rPr>
        <w:t xml:space="preserve">город Богучар                                                                             И.М.Нежельский    </w:t>
      </w:r>
    </w:p>
    <w:p w:rsidR="00BE14B3" w:rsidRDefault="00BE14B3" w:rsidP="00BE14B3">
      <w:pPr>
        <w:rPr>
          <w:lang w:eastAsia="ru-RU"/>
        </w:rPr>
      </w:pPr>
    </w:p>
    <w:p w:rsidR="00B51CF2" w:rsidRDefault="00BE14B3" w:rsidP="00B51CF2">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lastRenderedPageBreak/>
        <w:t>Приложение</w:t>
      </w:r>
      <w:r w:rsidR="00B51CF2">
        <w:rPr>
          <w:rFonts w:ascii="Times New Roman" w:hAnsi="Times New Roman" w:cs="Times New Roman"/>
          <w:sz w:val="20"/>
          <w:szCs w:val="20"/>
        </w:rPr>
        <w:t xml:space="preserve"> </w:t>
      </w:r>
      <w:r w:rsidRPr="00B51CF2">
        <w:rPr>
          <w:rFonts w:ascii="Times New Roman" w:hAnsi="Times New Roman" w:cs="Times New Roman"/>
          <w:sz w:val="20"/>
          <w:szCs w:val="20"/>
        </w:rPr>
        <w:t>к постановлению администрации</w:t>
      </w:r>
      <w:r w:rsidR="00B51CF2">
        <w:rPr>
          <w:rFonts w:ascii="Times New Roman" w:hAnsi="Times New Roman" w:cs="Times New Roman"/>
          <w:sz w:val="20"/>
          <w:szCs w:val="20"/>
        </w:rPr>
        <w:t xml:space="preserve"> </w:t>
      </w:r>
    </w:p>
    <w:p w:rsidR="00B51CF2" w:rsidRDefault="00BE14B3" w:rsidP="00B51CF2">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t>городского поселения – город Богучар</w:t>
      </w:r>
      <w:r w:rsidR="00B51CF2">
        <w:rPr>
          <w:rFonts w:ascii="Times New Roman" w:hAnsi="Times New Roman" w:cs="Times New Roman"/>
          <w:sz w:val="20"/>
          <w:szCs w:val="20"/>
        </w:rPr>
        <w:t xml:space="preserve"> </w:t>
      </w:r>
    </w:p>
    <w:p w:rsidR="00B51CF2" w:rsidRDefault="00BE14B3" w:rsidP="00B51CF2">
      <w:pPr>
        <w:spacing w:after="0" w:line="240" w:lineRule="auto"/>
        <w:ind w:left="4956" w:firstLine="708"/>
        <w:rPr>
          <w:rFonts w:ascii="Times New Roman" w:hAnsi="Times New Roman" w:cs="Times New Roman"/>
          <w:sz w:val="20"/>
          <w:szCs w:val="20"/>
        </w:rPr>
      </w:pPr>
      <w:r w:rsidRPr="00B51CF2">
        <w:rPr>
          <w:rFonts w:ascii="Times New Roman" w:hAnsi="Times New Roman" w:cs="Times New Roman"/>
          <w:sz w:val="20"/>
          <w:szCs w:val="20"/>
        </w:rPr>
        <w:t xml:space="preserve">Богучарского </w:t>
      </w:r>
      <w:r w:rsidR="00B51CF2">
        <w:rPr>
          <w:rFonts w:ascii="Times New Roman" w:hAnsi="Times New Roman" w:cs="Times New Roman"/>
          <w:sz w:val="20"/>
          <w:szCs w:val="20"/>
        </w:rPr>
        <w:t>м</w:t>
      </w:r>
      <w:r w:rsidRPr="00B51CF2">
        <w:rPr>
          <w:rFonts w:ascii="Times New Roman" w:hAnsi="Times New Roman" w:cs="Times New Roman"/>
          <w:sz w:val="20"/>
          <w:szCs w:val="20"/>
        </w:rPr>
        <w:t>униципального района</w:t>
      </w:r>
      <w:r w:rsidR="00B51CF2">
        <w:rPr>
          <w:rFonts w:ascii="Times New Roman" w:hAnsi="Times New Roman" w:cs="Times New Roman"/>
          <w:sz w:val="20"/>
          <w:szCs w:val="20"/>
        </w:rPr>
        <w:t xml:space="preserve"> </w:t>
      </w:r>
    </w:p>
    <w:p w:rsidR="00BE14B3" w:rsidRPr="00E85E02" w:rsidRDefault="00BE14B3" w:rsidP="00B51CF2">
      <w:pPr>
        <w:spacing w:after="0" w:line="240" w:lineRule="auto"/>
        <w:ind w:left="4956" w:firstLine="708"/>
      </w:pPr>
      <w:r w:rsidRPr="00B51CF2">
        <w:rPr>
          <w:rFonts w:ascii="Times New Roman" w:hAnsi="Times New Roman" w:cs="Times New Roman"/>
          <w:sz w:val="20"/>
          <w:szCs w:val="20"/>
        </w:rPr>
        <w:t>от «</w:t>
      </w:r>
      <w:r w:rsidR="001630B4">
        <w:rPr>
          <w:rFonts w:ascii="Times New Roman" w:hAnsi="Times New Roman" w:cs="Times New Roman"/>
          <w:sz w:val="20"/>
          <w:szCs w:val="20"/>
        </w:rPr>
        <w:t>02</w:t>
      </w:r>
      <w:r w:rsidRPr="00B51CF2">
        <w:rPr>
          <w:rFonts w:ascii="Times New Roman" w:hAnsi="Times New Roman" w:cs="Times New Roman"/>
          <w:sz w:val="20"/>
          <w:szCs w:val="20"/>
        </w:rPr>
        <w:t>»</w:t>
      </w:r>
      <w:r w:rsidR="001630B4">
        <w:rPr>
          <w:rFonts w:ascii="Times New Roman" w:hAnsi="Times New Roman" w:cs="Times New Roman"/>
          <w:sz w:val="20"/>
          <w:szCs w:val="20"/>
        </w:rPr>
        <w:t xml:space="preserve"> октября </w:t>
      </w:r>
      <w:r w:rsidRPr="00B51CF2">
        <w:rPr>
          <w:rFonts w:ascii="Times New Roman" w:hAnsi="Times New Roman" w:cs="Times New Roman"/>
          <w:sz w:val="20"/>
          <w:szCs w:val="20"/>
        </w:rPr>
        <w:t>2015 года №</w:t>
      </w:r>
      <w:r w:rsidR="001630B4">
        <w:rPr>
          <w:rFonts w:ascii="Times New Roman" w:hAnsi="Times New Roman" w:cs="Times New Roman"/>
          <w:sz w:val="20"/>
          <w:szCs w:val="20"/>
        </w:rPr>
        <w:t xml:space="preserve"> 246</w:t>
      </w:r>
      <w:r w:rsidRPr="00E85E02">
        <w:t xml:space="preserve"> </w:t>
      </w:r>
    </w:p>
    <w:p w:rsidR="00BE14B3" w:rsidRDefault="00BE14B3" w:rsidP="00C81590">
      <w:pPr>
        <w:widowControl w:val="0"/>
        <w:autoSpaceDE w:val="0"/>
        <w:autoSpaceDN w:val="0"/>
        <w:adjustRightInd w:val="0"/>
        <w:spacing w:after="0"/>
        <w:contextualSpacing/>
        <w:jc w:val="center"/>
        <w:rPr>
          <w:rFonts w:ascii="Times New Roman" w:hAnsi="Times New Roman" w:cs="Times New Roman"/>
          <w:b/>
          <w:bCs/>
          <w:sz w:val="26"/>
          <w:szCs w:val="26"/>
        </w:rPr>
      </w:pPr>
    </w:p>
    <w:p w:rsidR="006D4696"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C81590">
      <w:pPr>
        <w:widowControl w:val="0"/>
        <w:autoSpaceDE w:val="0"/>
        <w:autoSpaceDN w:val="0"/>
        <w:adjustRightInd w:val="0"/>
        <w:spacing w:after="0"/>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C81590">
      <w:pPr>
        <w:widowControl w:val="0"/>
        <w:autoSpaceDE w:val="0"/>
        <w:autoSpaceDN w:val="0"/>
        <w:adjustRightInd w:val="0"/>
        <w:spacing w:after="0"/>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B51CF2">
        <w:rPr>
          <w:rFonts w:ascii="Times New Roman" w:hAnsi="Times New Roman" w:cs="Times New Roman"/>
          <w:sz w:val="26"/>
          <w:szCs w:val="26"/>
        </w:rPr>
        <w:t>городского поселения – город Богучар</w:t>
      </w:r>
      <w:r w:rsidR="008808D7" w:rsidRPr="00250377">
        <w:rPr>
          <w:rFonts w:ascii="Times New Roman" w:hAnsi="Times New Roman" w:cs="Times New Roman"/>
          <w:sz w:val="26"/>
          <w:szCs w:val="26"/>
        </w:rPr>
        <w:t xml:space="preserve">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B51CF2">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 xml:space="preserve">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B51CF2">
        <w:rPr>
          <w:rFonts w:ascii="Times New Roman" w:hAnsi="Times New Roman" w:cs="Times New Roman"/>
          <w:sz w:val="26"/>
          <w:szCs w:val="26"/>
        </w:rPr>
        <w:t>396790, Воронежская обл., г. Богучар, ул. Карла Маркса, д. 2.</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064BF">
        <w:rPr>
          <w:rStyle w:val="a5"/>
        </w:rPr>
        <w:footnoteReference w:id="1"/>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51CF2">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w:t>
      </w:r>
      <w:r w:rsidR="005426AC">
        <w:rPr>
          <w:rFonts w:ascii="Times New Roman" w:hAnsi="Times New Roman" w:cs="Times New Roman"/>
          <w:sz w:val="26"/>
          <w:szCs w:val="26"/>
        </w:rPr>
        <w:t xml:space="preserve">е администрации в сети Интернет - </w:t>
      </w:r>
      <w:r w:rsidR="005426AC" w:rsidRPr="005426AC">
        <w:rPr>
          <w:rFonts w:ascii="Times New Roman" w:hAnsi="Times New Roman" w:cs="Times New Roman"/>
          <w:sz w:val="26"/>
          <w:szCs w:val="26"/>
        </w:rPr>
        <w:t>http://gorod-boguchar.ru/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r w:rsidRPr="00250377">
        <w:rPr>
          <w:rFonts w:ascii="Times New Roman" w:hAnsi="Times New Roman" w:cs="Times New Roman"/>
          <w:sz w:val="26"/>
          <w:szCs w:val="26"/>
          <w:vertAlign w:val="superscript"/>
        </w:rPr>
        <w:t>1</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r w:rsidRPr="00250377">
        <w:rPr>
          <w:rFonts w:ascii="Times New Roman" w:hAnsi="Times New Roman" w:cs="Times New Roman"/>
          <w:sz w:val="26"/>
          <w:szCs w:val="26"/>
          <w:vertAlign w:val="superscript"/>
        </w:rPr>
        <w:t>1</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w:t>
      </w:r>
      <w:r w:rsidRPr="00250377">
        <w:rPr>
          <w:rFonts w:ascii="Times New Roman" w:hAnsi="Times New Roman" w:cs="Times New Roman"/>
          <w:sz w:val="26"/>
          <w:szCs w:val="26"/>
        </w:rPr>
        <w:lastRenderedPageBreak/>
        <w:t>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7813D8">
      <w:pPr>
        <w:tabs>
          <w:tab w:val="left" w:pos="0"/>
          <w:tab w:val="left" w:pos="1440"/>
          <w:tab w:val="left" w:pos="1560"/>
        </w:tabs>
        <w:spacing w:after="0"/>
        <w:ind w:left="709"/>
        <w:contextualSpacing/>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5426AC">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Федеральная кадастровая палата Федеральной службы государственной </w:t>
      </w:r>
      <w:r w:rsidRPr="00250377">
        <w:rPr>
          <w:rFonts w:ascii="Times New Roman" w:hAnsi="Times New Roman" w:cs="Times New Roman"/>
          <w:sz w:val="26"/>
          <w:szCs w:val="26"/>
        </w:rPr>
        <w:lastRenderedPageBreak/>
        <w:t>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813D8" w:rsidRPr="007813D8">
        <w:rPr>
          <w:rFonts w:ascii="Times New Roman" w:hAnsi="Times New Roman" w:cs="Times New Roman"/>
          <w:sz w:val="26"/>
          <w:szCs w:val="26"/>
        </w:rPr>
        <w:t>Совета народных депутатов</w:t>
      </w:r>
      <w:r w:rsidRPr="00250377">
        <w:rPr>
          <w:rFonts w:ascii="Times New Roman" w:hAnsi="Times New Roman" w:cs="Times New Roman"/>
          <w:sz w:val="26"/>
          <w:szCs w:val="26"/>
        </w:rPr>
        <w:t>.</w:t>
      </w:r>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7813D8">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7813D8">
        <w:rPr>
          <w:rFonts w:ascii="Times New Roman" w:hAnsi="Times New Roman" w:cs="Times New Roman"/>
          <w:sz w:val="26"/>
          <w:szCs w:val="26"/>
        </w:rPr>
        <w:t>городского поселения – город Богучар</w:t>
      </w:r>
      <w:r w:rsidR="00A4533C"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в информационно-телекоммуникационной сети Интернет </w:t>
      </w:r>
      <w:r w:rsidR="00C81B48">
        <w:rPr>
          <w:rFonts w:ascii="Times New Roman" w:hAnsi="Times New Roman" w:cs="Times New Roman"/>
          <w:sz w:val="26"/>
          <w:szCs w:val="26"/>
        </w:rPr>
        <w:t>(</w:t>
      </w:r>
      <w:r w:rsidR="00C81B48" w:rsidRPr="005426AC">
        <w:rPr>
          <w:rFonts w:ascii="Times New Roman" w:hAnsi="Times New Roman" w:cs="Times New Roman"/>
          <w:sz w:val="26"/>
          <w:szCs w:val="26"/>
        </w:rPr>
        <w:t>http://gorod-boguchar.ru/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направлению (выдаче) заявителю постановления администрации о предварительном согласовании </w:t>
      </w:r>
      <w:r w:rsidRPr="00250377">
        <w:rPr>
          <w:rFonts w:ascii="Times New Roman" w:hAnsi="Times New Roman" w:cs="Times New Roman"/>
          <w:sz w:val="26"/>
          <w:szCs w:val="26"/>
        </w:rPr>
        <w:lastRenderedPageBreak/>
        <w:t>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lastRenderedPageBreak/>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27.02.2015).</w:t>
      </w:r>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C81B48">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101799">
      <w:pPr>
        <w:spacing w:after="0"/>
        <w:ind w:firstLine="709"/>
        <w:contextualSpacing/>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250377">
        <w:rPr>
          <w:rFonts w:ascii="Times New Roman" w:hAnsi="Times New Roman" w:cs="Times New Roman"/>
          <w:sz w:val="26"/>
          <w:szCs w:val="26"/>
        </w:rPr>
        <w:lastRenderedPageBreak/>
        <w:t>№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lastRenderedPageBreak/>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 xml:space="preserve">документы, удостоверяющие (устанавливающие) права заявителя на здание, </w:t>
      </w:r>
      <w:r w:rsidR="00CB0A85" w:rsidRPr="00250377">
        <w:rPr>
          <w:rFonts w:ascii="Times New Roman" w:hAnsi="Times New Roman" w:cs="Times New Roman"/>
          <w:sz w:val="26"/>
          <w:szCs w:val="26"/>
        </w:rPr>
        <w:lastRenderedPageBreak/>
        <w:t>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50377">
        <w:rPr>
          <w:rFonts w:ascii="Times New Roman" w:hAnsi="Times New Roman" w:cs="Times New Roman"/>
          <w:sz w:val="26"/>
          <w:szCs w:val="26"/>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C81B48">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00C81B48">
        <w:rPr>
          <w:rFonts w:ascii="Times New Roman" w:hAnsi="Times New Roman" w:cs="Times New Roman"/>
          <w:sz w:val="26"/>
          <w:szCs w:val="26"/>
        </w:rPr>
        <w:t xml:space="preserve"> в </w:t>
      </w:r>
      <w:r w:rsidRPr="00250377">
        <w:rPr>
          <w:rFonts w:ascii="Times New Roman" w:hAnsi="Times New Roman" w:cs="Times New Roman"/>
          <w:sz w:val="26"/>
          <w:szCs w:val="26"/>
        </w:rPr>
        <w:t xml:space="preserve">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81B48">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101799">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250377"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101799">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4C0F87" w:rsidP="00101799">
      <w:pPr>
        <w:pStyle w:val="ConsPlusNormal"/>
        <w:numPr>
          <w:ilvl w:val="2"/>
          <w:numId w:val="9"/>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в органе предоставляющего услугу доступными </w:t>
      </w:r>
      <w:r w:rsidRPr="00250377">
        <w:rPr>
          <w:rFonts w:ascii="Times New Roman" w:hAnsi="Times New Roman" w:cs="Times New Roman"/>
          <w:sz w:val="26"/>
          <w:szCs w:val="26"/>
        </w:rPr>
        <w:lastRenderedPageBreak/>
        <w:t>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101799">
      <w:pPr>
        <w:pStyle w:val="ConsPlusNormal"/>
        <w:numPr>
          <w:ilvl w:val="2"/>
          <w:numId w:val="13"/>
        </w:numPr>
        <w:spacing w:line="276"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w:t>
      </w:r>
    </w:p>
    <w:p w:rsidR="004C0F87" w:rsidRPr="00250377"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C81B48">
        <w:rPr>
          <w:rFonts w:ascii="Times New Roman" w:hAnsi="Times New Roman" w:cs="Times New Roman"/>
          <w:sz w:val="26"/>
          <w:szCs w:val="26"/>
        </w:rPr>
        <w:t>городского поселения – город Богучар</w:t>
      </w:r>
      <w:r w:rsidR="00C81B48" w:rsidRPr="00250377">
        <w:rPr>
          <w:rFonts w:ascii="Times New Roman" w:hAnsi="Times New Roman" w:cs="Times New Roman"/>
          <w:sz w:val="26"/>
          <w:szCs w:val="26"/>
        </w:rPr>
        <w:t xml:space="preserve"> </w:t>
      </w:r>
      <w:r w:rsidRPr="00250377">
        <w:rPr>
          <w:rFonts w:ascii="Times New Roman" w:hAnsi="Times New Roman" w:cs="Times New Roman"/>
          <w:sz w:val="26"/>
          <w:szCs w:val="26"/>
        </w:rPr>
        <w:t>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w:t>
      </w:r>
      <w:r w:rsidRPr="00250377">
        <w:rPr>
          <w:rFonts w:ascii="Times New Roman" w:hAnsi="Times New Roman" w:cs="Times New Roman"/>
          <w:sz w:val="26"/>
          <w:szCs w:val="26"/>
        </w:rPr>
        <w:lastRenderedPageBreak/>
        <w:t>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w:t>
      </w:r>
      <w:r w:rsidRPr="00250377">
        <w:rPr>
          <w:rFonts w:ascii="Times New Roman" w:hAnsi="Times New Roman" w:cs="Times New Roman"/>
          <w:sz w:val="26"/>
          <w:szCs w:val="26"/>
          <w:vertAlign w:val="superscript"/>
        </w:rPr>
        <w:t>1</w:t>
      </w:r>
      <w:r w:rsidRPr="00250377">
        <w:rPr>
          <w:rFonts w:ascii="Times New Roman" w:hAnsi="Times New Roman" w:cs="Times New Roman"/>
          <w:sz w:val="26"/>
          <w:szCs w:val="26"/>
        </w:rPr>
        <w:t xml:space="preserve">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C81B48">
        <w:rPr>
          <w:rFonts w:ascii="Times New Roman" w:hAnsi="Times New Roman" w:cs="Times New Roman"/>
          <w:sz w:val="26"/>
          <w:szCs w:val="26"/>
        </w:rPr>
        <w:t>городского поселения – город Богучар</w:t>
      </w:r>
      <w:r w:rsidR="00C81B4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течение </w:t>
      </w:r>
      <w:r w:rsidRPr="00250377">
        <w:rPr>
          <w:rFonts w:ascii="Times New Roman" w:hAnsi="Times New Roman" w:cs="Times New Roman"/>
          <w:sz w:val="26"/>
          <w:szCs w:val="26"/>
        </w:rPr>
        <w:lastRenderedPageBreak/>
        <w:t>одного рабочего дня с момента регистрации.</w:t>
      </w:r>
    </w:p>
    <w:p w:rsidR="008468B1" w:rsidRPr="00250377" w:rsidRDefault="00A15C0E"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 xml:space="preserve">едусмотренной настоящим пунктом составляет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lastRenderedPageBreak/>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81B48">
        <w:rPr>
          <w:rFonts w:ascii="Times New Roman" w:hAnsi="Times New Roman" w:cs="Times New Roman"/>
          <w:sz w:val="26"/>
          <w:szCs w:val="26"/>
        </w:rPr>
        <w:t>Богучарского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6"/>
          <w:szCs w:val="26"/>
        </w:rPr>
      </w:pPr>
      <w:r w:rsidRPr="00250377">
        <w:rPr>
          <w:rFonts w:ascii="Times New Roman" w:hAnsi="Times New Roman" w:cs="Times New Roman"/>
          <w:b/>
          <w:sz w:val="26"/>
          <w:szCs w:val="26"/>
        </w:rPr>
        <w:t>3.2.4.</w:t>
      </w:r>
      <w:r w:rsidR="00BF0C17" w:rsidRPr="00250377">
        <w:rPr>
          <w:rFonts w:ascii="Times New Roman" w:hAnsi="Times New Roman" w:cs="Times New Roman"/>
          <w:b/>
          <w:sz w:val="26"/>
          <w:szCs w:val="26"/>
        </w:rPr>
        <w:t xml:space="preserve"> Подготовка </w:t>
      </w:r>
      <w:r w:rsidR="003D4185" w:rsidRPr="00250377">
        <w:rPr>
          <w:rFonts w:ascii="Times New Roman" w:hAnsi="Times New Roman" w:cs="Times New Roman"/>
          <w:b/>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250377">
        <w:rPr>
          <w:rFonts w:ascii="Times New Roman" w:hAnsi="Times New Roman" w:cs="Times New Roman"/>
          <w:b/>
          <w:sz w:val="26"/>
          <w:szCs w:val="26"/>
        </w:rPr>
        <w:t>.</w:t>
      </w:r>
    </w:p>
    <w:p w:rsidR="007C0B8A" w:rsidRPr="00250377"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3064BF">
        <w:rPr>
          <w:rStyle w:val="a5"/>
        </w:rPr>
        <w:footnoteReference w:id="2"/>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w:t>
      </w:r>
      <w:r w:rsidRPr="00250377">
        <w:rPr>
          <w:rFonts w:ascii="Times New Roman" w:hAnsi="Times New Roman" w:cs="Times New Roman"/>
          <w:sz w:val="26"/>
          <w:szCs w:val="26"/>
        </w:rPr>
        <w:lastRenderedPageBreak/>
        <w:t xml:space="preserve">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250377">
        <w:rPr>
          <w:rFonts w:ascii="Times New Roman" w:hAnsi="Times New Roman" w:cs="Times New Roman"/>
          <w:sz w:val="26"/>
          <w:szCs w:val="26"/>
          <w:vertAlign w:val="superscript"/>
        </w:rPr>
        <w:t>2</w:t>
      </w:r>
      <w:r w:rsidRPr="00250377">
        <w:rPr>
          <w:rFonts w:ascii="Times New Roman" w:hAnsi="Times New Roman" w:cs="Times New Roman"/>
          <w:sz w:val="26"/>
          <w:szCs w:val="26"/>
        </w:rPr>
        <w:t xml:space="preserve"> в течение 2 дней.</w:t>
      </w:r>
    </w:p>
    <w:p w:rsidR="00767FBE" w:rsidRPr="00250377"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bookmarkStart w:id="2" w:name="_GoBack"/>
      <w:bookmarkEnd w:id="2"/>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101799">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Выполнение административного действия осуществляется в соответствии с </w:t>
      </w:r>
      <w:r w:rsidRPr="00250377">
        <w:rPr>
          <w:rFonts w:ascii="Times New Roman" w:hAnsi="Times New Roman" w:cs="Times New Roman"/>
          <w:sz w:val="26"/>
          <w:szCs w:val="26"/>
        </w:rPr>
        <w:lastRenderedPageBreak/>
        <w:t>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C81B48">
        <w:rPr>
          <w:rFonts w:ascii="Times New Roman" w:hAnsi="Times New Roman" w:cs="Times New Roman"/>
          <w:sz w:val="26"/>
          <w:szCs w:val="26"/>
        </w:rPr>
        <w:t>городского поселения – город Богучар</w:t>
      </w:r>
      <w:r w:rsidR="00C81B48" w:rsidRPr="00250377">
        <w:rPr>
          <w:rFonts w:ascii="Times New Roman" w:hAnsi="Times New Roman" w:cs="Times New Roman"/>
          <w:sz w:val="26"/>
          <w:szCs w:val="26"/>
        </w:rPr>
        <w:t xml:space="preserve"> </w:t>
      </w:r>
      <w:r w:rsidR="0029371E" w:rsidRPr="00250377">
        <w:rPr>
          <w:rFonts w:ascii="Times New Roman" w:hAnsi="Times New Roman" w:cs="Times New Roman"/>
          <w:sz w:val="26"/>
          <w:szCs w:val="26"/>
        </w:rPr>
        <w:t>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r w:rsidRPr="00250377">
        <w:rPr>
          <w:rFonts w:ascii="Times New Roman" w:hAnsi="Times New Roman" w:cs="Times New Roman"/>
          <w:sz w:val="26"/>
          <w:szCs w:val="26"/>
        </w:rPr>
        <w:t>.</w:t>
      </w:r>
    </w:p>
    <w:p w:rsidR="001D5C4A" w:rsidRPr="00250377"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C81B48">
        <w:rPr>
          <w:rFonts w:ascii="Times New Roman" w:hAnsi="Times New Roman" w:cs="Times New Roman"/>
          <w:sz w:val="26"/>
          <w:szCs w:val="26"/>
        </w:rPr>
        <w:t>городского поселения – город Богучар</w:t>
      </w:r>
      <w:r w:rsidR="00C81B48" w:rsidRPr="00250377">
        <w:rPr>
          <w:rFonts w:ascii="Times New Roman" w:hAnsi="Times New Roman" w:cs="Times New Roman"/>
          <w:sz w:val="26"/>
          <w:szCs w:val="26"/>
        </w:rPr>
        <w:t xml:space="preserve"> </w:t>
      </w:r>
      <w:r w:rsidRPr="00250377">
        <w:rPr>
          <w:rFonts w:ascii="Times New Roman" w:hAnsi="Times New Roman" w:cs="Times New Roman"/>
          <w:sz w:val="26"/>
          <w:szCs w:val="26"/>
        </w:rPr>
        <w:t>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информационно-телекоммуникационной сети Интернет</w:t>
      </w:r>
      <w:r w:rsidR="00C81B48">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lastRenderedPageBreak/>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 кадастре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w:t>
      </w:r>
      <w:r w:rsidR="0029371E" w:rsidRPr="00250377">
        <w:rPr>
          <w:rFonts w:ascii="Times New Roman" w:hAnsi="Times New Roman" w:cs="Times New Roman"/>
          <w:sz w:val="26"/>
          <w:szCs w:val="26"/>
        </w:rPr>
        <w:lastRenderedPageBreak/>
        <w:t>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10179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101799">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250377">
        <w:rPr>
          <w:rFonts w:ascii="Times New Roman" w:hAnsi="Times New Roman" w:cs="Times New Roman"/>
          <w:sz w:val="26"/>
          <w:szCs w:val="26"/>
        </w:rPr>
        <w:lastRenderedPageBreak/>
        <w:t>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s>
        <w:suppressAutoHyphens/>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&lt;наименование муниципального </w:t>
      </w:r>
      <w:r w:rsidRPr="00250377">
        <w:rPr>
          <w:rFonts w:ascii="Times New Roman" w:hAnsi="Times New Roman" w:cs="Times New Roman"/>
          <w:sz w:val="26"/>
          <w:szCs w:val="26"/>
        </w:rPr>
        <w:lastRenderedPageBreak/>
        <w:t>образования Воронежской области&gt;</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лаве администрации (поселения)</w:t>
      </w:r>
      <w:r w:rsidR="00617CC5" w:rsidRPr="003064BF">
        <w:rPr>
          <w:rStyle w:val="a5"/>
        </w:rPr>
        <w:footnoteReference w:id="3"/>
      </w:r>
      <w:r w:rsidR="00617CC5" w:rsidRPr="004B6CB4">
        <w:rPr>
          <w:rFonts w:ascii="Times New Roman" w:hAnsi="Times New Roman" w:cs="Times New Roman"/>
          <w:sz w:val="26"/>
          <w:szCs w:val="26"/>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1) наличие вступившего в законную силу решения суда, арбитражного суда по </w:t>
      </w:r>
      <w:r w:rsidRPr="00250377">
        <w:rPr>
          <w:rFonts w:ascii="Times New Roman" w:hAnsi="Times New Roman" w:cs="Times New Roman"/>
          <w:sz w:val="26"/>
          <w:szCs w:val="26"/>
          <w:lang w:eastAsia="ru-RU"/>
        </w:rPr>
        <w:lastRenderedPageBreak/>
        <w:t>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285B14">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4"/>
          <w:szCs w:val="24"/>
        </w:rPr>
        <w:t>:</w:t>
      </w:r>
      <w:r w:rsidR="00285B14">
        <w:rPr>
          <w:rFonts w:ascii="Times New Roman" w:hAnsi="Times New Roman" w:cs="Times New Roman"/>
          <w:sz w:val="24"/>
          <w:szCs w:val="24"/>
        </w:rPr>
        <w:t>396790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465EAB">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понедельник - </w:t>
      </w:r>
      <w:r w:rsidR="00465EAB">
        <w:rPr>
          <w:rFonts w:ascii="Times New Roman" w:hAnsi="Times New Roman" w:cs="Times New Roman"/>
          <w:sz w:val="24"/>
          <w:szCs w:val="24"/>
        </w:rPr>
        <w:t>пятница</w:t>
      </w:r>
      <w:r w:rsidRPr="00250377">
        <w:rPr>
          <w:rFonts w:ascii="Times New Roman" w:hAnsi="Times New Roman" w:cs="Times New Roman"/>
          <w:sz w:val="24"/>
          <w:szCs w:val="24"/>
        </w:rPr>
        <w:t>: с 0</w:t>
      </w:r>
      <w:r w:rsidR="00465EAB">
        <w:rPr>
          <w:rFonts w:ascii="Times New Roman" w:hAnsi="Times New Roman" w:cs="Times New Roman"/>
          <w:sz w:val="24"/>
          <w:szCs w:val="24"/>
        </w:rPr>
        <w:t>8</w:t>
      </w:r>
      <w:r w:rsidRPr="00250377">
        <w:rPr>
          <w:rFonts w:ascii="Times New Roman" w:hAnsi="Times New Roman" w:cs="Times New Roman"/>
          <w:sz w:val="24"/>
          <w:szCs w:val="24"/>
        </w:rPr>
        <w:t>.00 до 1</w:t>
      </w:r>
      <w:r w:rsidR="00465EAB">
        <w:rPr>
          <w:rFonts w:ascii="Times New Roman" w:hAnsi="Times New Roman" w:cs="Times New Roman"/>
          <w:sz w:val="24"/>
          <w:szCs w:val="24"/>
        </w:rPr>
        <w:t>7</w:t>
      </w:r>
      <w:r w:rsidRPr="00250377">
        <w:rPr>
          <w:rFonts w:ascii="Times New Roman" w:hAnsi="Times New Roman" w:cs="Times New Roman"/>
          <w:sz w:val="24"/>
          <w:szCs w:val="24"/>
        </w:rPr>
        <w:t>.00;</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sidR="00465EAB">
        <w:rPr>
          <w:rFonts w:ascii="Times New Roman" w:hAnsi="Times New Roman" w:cs="Times New Roman"/>
          <w:sz w:val="24"/>
          <w:szCs w:val="24"/>
        </w:rPr>
        <w:t>2</w:t>
      </w:r>
      <w:r w:rsidRPr="00250377">
        <w:rPr>
          <w:rFonts w:ascii="Times New Roman" w:hAnsi="Times New Roman" w:cs="Times New Roman"/>
          <w:sz w:val="24"/>
          <w:szCs w:val="24"/>
        </w:rPr>
        <w:t>.00 до 13.</w:t>
      </w:r>
      <w:r w:rsidR="00465EAB">
        <w:rPr>
          <w:rFonts w:ascii="Times New Roman" w:hAnsi="Times New Roman" w:cs="Times New Roman"/>
          <w:sz w:val="24"/>
          <w:szCs w:val="24"/>
        </w:rPr>
        <w:t>00</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465EAB">
        <w:rPr>
          <w:rFonts w:ascii="Times New Roman" w:hAnsi="Times New Roman" w:cs="Times New Roman"/>
          <w:sz w:val="26"/>
          <w:szCs w:val="26"/>
        </w:rPr>
        <w:t>городского поселения – город Богучар</w:t>
      </w:r>
      <w:r w:rsidRPr="00250377">
        <w:rPr>
          <w:rFonts w:ascii="Times New Roman" w:hAnsi="Times New Roman" w:cs="Times New Roman"/>
          <w:sz w:val="24"/>
          <w:szCs w:val="24"/>
        </w:rPr>
        <w:t xml:space="preserve">  в сети Интернет: </w:t>
      </w:r>
      <w:r w:rsidR="00705DFD" w:rsidRPr="00705DFD">
        <w:rPr>
          <w:rFonts w:ascii="Times New Roman" w:hAnsi="Times New Roman" w:cs="Times New Roman"/>
          <w:sz w:val="24"/>
          <w:szCs w:val="24"/>
        </w:rPr>
        <w:t>http://gorod-boguchar.ru/</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администрации </w:t>
      </w:r>
      <w:r w:rsidR="00705DFD">
        <w:rPr>
          <w:rFonts w:ascii="Times New Roman" w:hAnsi="Times New Roman" w:cs="Times New Roman"/>
          <w:sz w:val="24"/>
          <w:szCs w:val="24"/>
        </w:rPr>
        <w:t>городского поселения – город Богучар</w:t>
      </w:r>
      <w:r w:rsidRPr="00250377">
        <w:rPr>
          <w:rFonts w:ascii="Times New Roman" w:hAnsi="Times New Roman" w:cs="Times New Roman"/>
          <w:sz w:val="24"/>
          <w:szCs w:val="24"/>
        </w:rPr>
        <w:t xml:space="preserve">: </w:t>
      </w:r>
      <w:r w:rsidR="00705DFD">
        <w:rPr>
          <w:rFonts w:ascii="Times New Roman" w:hAnsi="Times New Roman" w:cs="Times New Roman"/>
          <w:sz w:val="24"/>
          <w:szCs w:val="24"/>
          <w:lang w:val="en-US"/>
        </w:rPr>
        <w:t>bogucharadm</w:t>
      </w:r>
      <w:r w:rsidR="00705DFD" w:rsidRPr="00705DFD">
        <w:rPr>
          <w:rFonts w:ascii="Times New Roman" w:hAnsi="Times New Roman" w:cs="Times New Roman"/>
          <w:sz w:val="24"/>
          <w:szCs w:val="24"/>
        </w:rPr>
        <w:t>2</w:t>
      </w:r>
      <w:r w:rsidR="00705DFD">
        <w:rPr>
          <w:rFonts w:ascii="Times New Roman" w:hAnsi="Times New Roman" w:cs="Times New Roman"/>
          <w:sz w:val="24"/>
          <w:szCs w:val="24"/>
          <w:lang w:val="en-US"/>
        </w:rPr>
        <w:t>mail</w:t>
      </w:r>
      <w:r w:rsidR="00705DFD" w:rsidRPr="00705DFD">
        <w:rPr>
          <w:rFonts w:ascii="Times New Roman" w:hAnsi="Times New Roman" w:cs="Times New Roman"/>
          <w:sz w:val="24"/>
          <w:szCs w:val="24"/>
        </w:rPr>
        <w:t>.</w:t>
      </w:r>
      <w:r w:rsidR="00705DFD">
        <w:rPr>
          <w:rFonts w:ascii="Times New Roman" w:hAnsi="Times New Roman" w:cs="Times New Roman"/>
          <w:sz w:val="24"/>
          <w:szCs w:val="24"/>
          <w:lang w:val="en-US"/>
        </w:rPr>
        <w:t>ru</w:t>
      </w:r>
      <w:r w:rsidRPr="00250377">
        <w:rPr>
          <w:rFonts w:ascii="Times New Roman" w:hAnsi="Times New Roman" w:cs="Times New Roman"/>
          <w:sz w:val="24"/>
          <w:szCs w:val="24"/>
        </w:rPr>
        <w:t>.</w:t>
      </w:r>
    </w:p>
    <w:p w:rsidR="00E75B3C" w:rsidRPr="00250377" w:rsidRDefault="00E75B3C" w:rsidP="00AA6431">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2. Телефоны для справок: </w:t>
      </w:r>
      <w:r w:rsidR="00705DFD">
        <w:rPr>
          <w:rFonts w:ascii="Times New Roman" w:hAnsi="Times New Roman" w:cs="Times New Roman"/>
          <w:sz w:val="24"/>
          <w:szCs w:val="24"/>
        </w:rPr>
        <w:t>(473660 2-01-32,</w:t>
      </w:r>
      <w:r w:rsidR="00705DFD" w:rsidRPr="00705DFD">
        <w:rPr>
          <w:rFonts w:ascii="Times New Roman" w:hAnsi="Times New Roman" w:cs="Times New Roman"/>
          <w:sz w:val="24"/>
          <w:szCs w:val="24"/>
        </w:rPr>
        <w:t xml:space="preserve"> 2-10-75</w:t>
      </w:r>
      <w:r w:rsidRPr="00250377">
        <w:rPr>
          <w:rFonts w:ascii="Times New Roman" w:hAnsi="Times New Roman" w:cs="Times New Roman"/>
          <w:sz w:val="24"/>
          <w:szCs w:val="24"/>
        </w:rPr>
        <w:t>.</w:t>
      </w:r>
    </w:p>
    <w:p w:rsidR="00E75B3C" w:rsidRDefault="00E75B3C">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Default="00705DFD">
      <w:pPr>
        <w:rPr>
          <w:rFonts w:ascii="Times New Roman" w:hAnsi="Times New Roman" w:cs="Times New Roman"/>
          <w:sz w:val="26"/>
          <w:szCs w:val="26"/>
        </w:rPr>
      </w:pPr>
    </w:p>
    <w:p w:rsidR="00705DFD" w:rsidRPr="00250377" w:rsidRDefault="00705DFD">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pPr>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705DFD">
        <w:rPr>
          <w:rFonts w:ascii="Times New Roman" w:hAnsi="Times New Roman" w:cs="Times New Roman"/>
          <w:sz w:val="26"/>
          <w:szCs w:val="26"/>
        </w:rPr>
        <w:t>городского поселения – город Богучар</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E75B3C" w:rsidRPr="00250377" w:rsidRDefault="00E75B3C">
      <w:pPr>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9B6C36" w:rsidP="000C20B2">
      <w:pPr>
        <w:autoSpaceDE w:val="0"/>
        <w:autoSpaceDN w:val="0"/>
        <w:adjustRightInd w:val="0"/>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9B6C36"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9B6C36">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9B6C36"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2141EB" w:rsidRPr="001E6749" w:rsidRDefault="002141EB"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2141EB" w:rsidRPr="009573D8"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9B6C36"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9B6C36"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9B6C36"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9B6C36"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141EB" w:rsidRPr="001E6749" w:rsidRDefault="002141EB"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2141EB" w:rsidRPr="009573D8"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2141EB" w:rsidRPr="00F67ED7" w:rsidRDefault="002141EB"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2141EB" w:rsidRPr="00F67ED7" w:rsidRDefault="002141EB"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2141EB" w:rsidRPr="001E6749" w:rsidRDefault="002141EB"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2141EB" w:rsidRPr="00C23BFB" w:rsidRDefault="002141EB"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9B6C36"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2141EB" w:rsidRPr="003102D6" w:rsidRDefault="002141EB"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2141EB" w:rsidRPr="0005747B" w:rsidRDefault="002141EB"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2141EB" w:rsidRPr="0005747B" w:rsidRDefault="002141EB"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2141EB" w:rsidRPr="00DD56A6" w:rsidRDefault="002141EB"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9B6C36">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9B6C36"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2141EB" w:rsidRPr="0005747B" w:rsidRDefault="002141EB"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2141EB" w:rsidRPr="00DD56A6" w:rsidRDefault="002141EB"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9B6C36"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9B6C36">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2141EB" w:rsidRPr="00072576" w:rsidRDefault="002141EB"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9B6C36" w:rsidP="00E90CBB">
      <w:pPr>
        <w:widowControl w:val="0"/>
        <w:autoSpaceDE w:val="0"/>
        <w:autoSpaceDN w:val="0"/>
        <w:adjustRightInd w:val="0"/>
        <w:spacing w:after="0" w:line="240" w:lineRule="auto"/>
        <w:outlineLvl w:val="1"/>
        <w:rPr>
          <w:rFonts w:ascii="Times New Roman" w:hAnsi="Times New Roman" w:cs="Times New Roman"/>
          <w:b/>
          <w:sz w:val="26"/>
          <w:szCs w:val="26"/>
        </w:rPr>
      </w:pPr>
      <w:r w:rsidRPr="009B6C36">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9B6C36"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9B6C36">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2141EB" w:rsidRPr="005D2E8E" w:rsidRDefault="002141EB"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9B6C36">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9B6C36">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9B6C36">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9B6C36"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9B6C36">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2141EB" w:rsidRPr="0005747B" w:rsidRDefault="002141EB"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p>
    <w:p w:rsidR="00072576" w:rsidRPr="00250377"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AD" w:rsidRDefault="00EE40AD" w:rsidP="00F63BE9">
      <w:pPr>
        <w:spacing w:after="0" w:line="240" w:lineRule="auto"/>
      </w:pPr>
      <w:r>
        <w:separator/>
      </w:r>
    </w:p>
  </w:endnote>
  <w:endnote w:type="continuationSeparator" w:id="0">
    <w:p w:rsidR="00EE40AD" w:rsidRDefault="00EE40AD"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AD" w:rsidRDefault="00EE40AD" w:rsidP="00F63BE9">
      <w:pPr>
        <w:spacing w:after="0" w:line="240" w:lineRule="auto"/>
      </w:pPr>
      <w:r>
        <w:separator/>
      </w:r>
    </w:p>
  </w:footnote>
  <w:footnote w:type="continuationSeparator" w:id="0">
    <w:p w:rsidR="00EE40AD" w:rsidRDefault="00EE40AD" w:rsidP="00F63BE9">
      <w:pPr>
        <w:spacing w:after="0" w:line="240" w:lineRule="auto"/>
      </w:pPr>
      <w:r>
        <w:continuationSeparator/>
      </w:r>
    </w:p>
  </w:footnote>
  <w:footnote w:id="1">
    <w:p w:rsidR="002141EB" w:rsidRPr="003717F0" w:rsidRDefault="002141EB" w:rsidP="00F63BE9">
      <w:pPr>
        <w:pStyle w:val="a3"/>
        <w:contextualSpacing/>
        <w:jc w:val="both"/>
        <w:rPr>
          <w:b/>
          <w:sz w:val="22"/>
          <w:szCs w:val="22"/>
        </w:rPr>
      </w:pPr>
      <w:r w:rsidRPr="003064BF">
        <w:rPr>
          <w:rStyle w:val="a5"/>
        </w:rPr>
        <w:footnoteRef/>
      </w:r>
      <w:r>
        <w:t xml:space="preserve"> </w:t>
      </w:r>
      <w:r w:rsidRPr="003717F0">
        <w:rPr>
          <w:b/>
          <w:sz w:val="22"/>
          <w:szCs w:val="22"/>
        </w:rPr>
        <w:t>Абзац указывается при наличии всех следующих условий:</w:t>
      </w:r>
    </w:p>
    <w:p w:rsidR="002141EB" w:rsidRPr="003717F0" w:rsidRDefault="002141EB" w:rsidP="00F63BE9">
      <w:pPr>
        <w:pStyle w:val="a3"/>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141EB" w:rsidRPr="003717F0" w:rsidRDefault="002141EB" w:rsidP="00F63BE9">
      <w:pPr>
        <w:pStyle w:val="a3"/>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2141EB" w:rsidRDefault="002141EB">
      <w:pPr>
        <w:pStyle w:val="a3"/>
      </w:pPr>
      <w:r w:rsidRPr="003064BF">
        <w:rPr>
          <w:rStyle w:val="a5"/>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3">
    <w:p w:rsidR="002141EB" w:rsidRDefault="002141EB" w:rsidP="00617CC5">
      <w:pPr>
        <w:pStyle w:val="a3"/>
      </w:pPr>
      <w:r w:rsidRPr="003064BF">
        <w:rPr>
          <w:rStyle w:val="a5"/>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230B1"/>
    <w:rsid w:val="00141DF3"/>
    <w:rsid w:val="00144430"/>
    <w:rsid w:val="001630B4"/>
    <w:rsid w:val="0016706C"/>
    <w:rsid w:val="00173F8B"/>
    <w:rsid w:val="0017677F"/>
    <w:rsid w:val="00180016"/>
    <w:rsid w:val="001A7DCD"/>
    <w:rsid w:val="001D1E7A"/>
    <w:rsid w:val="001D5C4A"/>
    <w:rsid w:val="001F11FE"/>
    <w:rsid w:val="001F398C"/>
    <w:rsid w:val="002141EB"/>
    <w:rsid w:val="00221A07"/>
    <w:rsid w:val="00223F05"/>
    <w:rsid w:val="00225B5B"/>
    <w:rsid w:val="00250377"/>
    <w:rsid w:val="002525C9"/>
    <w:rsid w:val="00281264"/>
    <w:rsid w:val="00285B14"/>
    <w:rsid w:val="0029371E"/>
    <w:rsid w:val="002A018E"/>
    <w:rsid w:val="002A54FD"/>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106FD"/>
    <w:rsid w:val="00412AE3"/>
    <w:rsid w:val="004139FE"/>
    <w:rsid w:val="00414865"/>
    <w:rsid w:val="00433A0F"/>
    <w:rsid w:val="00436291"/>
    <w:rsid w:val="00437694"/>
    <w:rsid w:val="004477B3"/>
    <w:rsid w:val="00461362"/>
    <w:rsid w:val="00465EAB"/>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26AC"/>
    <w:rsid w:val="0055210F"/>
    <w:rsid w:val="005A2D71"/>
    <w:rsid w:val="005A4C07"/>
    <w:rsid w:val="005C1402"/>
    <w:rsid w:val="005C6B08"/>
    <w:rsid w:val="005D2E8E"/>
    <w:rsid w:val="005D77E8"/>
    <w:rsid w:val="005E1C46"/>
    <w:rsid w:val="005E3C10"/>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472A"/>
    <w:rsid w:val="006D5B92"/>
    <w:rsid w:val="00704DF4"/>
    <w:rsid w:val="00705DFD"/>
    <w:rsid w:val="007328B8"/>
    <w:rsid w:val="00760DF2"/>
    <w:rsid w:val="0076113A"/>
    <w:rsid w:val="00764ED0"/>
    <w:rsid w:val="00767FBE"/>
    <w:rsid w:val="007813D8"/>
    <w:rsid w:val="00784F8E"/>
    <w:rsid w:val="007979CD"/>
    <w:rsid w:val="007A3504"/>
    <w:rsid w:val="007B0139"/>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B4407"/>
    <w:rsid w:val="008C3987"/>
    <w:rsid w:val="008C61D2"/>
    <w:rsid w:val="008D47DE"/>
    <w:rsid w:val="008E3D06"/>
    <w:rsid w:val="008F4DC2"/>
    <w:rsid w:val="00930C79"/>
    <w:rsid w:val="00940480"/>
    <w:rsid w:val="0094731A"/>
    <w:rsid w:val="0094798E"/>
    <w:rsid w:val="00965E29"/>
    <w:rsid w:val="00982BAF"/>
    <w:rsid w:val="00997EC7"/>
    <w:rsid w:val="009A25DF"/>
    <w:rsid w:val="009B207D"/>
    <w:rsid w:val="009B4A62"/>
    <w:rsid w:val="009B6C36"/>
    <w:rsid w:val="009D585E"/>
    <w:rsid w:val="009E112B"/>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6D55"/>
    <w:rsid w:val="00AD3B32"/>
    <w:rsid w:val="00AD4498"/>
    <w:rsid w:val="00B03817"/>
    <w:rsid w:val="00B053E9"/>
    <w:rsid w:val="00B21E2D"/>
    <w:rsid w:val="00B25007"/>
    <w:rsid w:val="00B351B1"/>
    <w:rsid w:val="00B404EB"/>
    <w:rsid w:val="00B40ABF"/>
    <w:rsid w:val="00B42B8A"/>
    <w:rsid w:val="00B51CF2"/>
    <w:rsid w:val="00B62C79"/>
    <w:rsid w:val="00B74C08"/>
    <w:rsid w:val="00BA24A5"/>
    <w:rsid w:val="00BC2D05"/>
    <w:rsid w:val="00BC6455"/>
    <w:rsid w:val="00BE01C4"/>
    <w:rsid w:val="00BE14B3"/>
    <w:rsid w:val="00BE1A70"/>
    <w:rsid w:val="00BF0C17"/>
    <w:rsid w:val="00BF22C5"/>
    <w:rsid w:val="00BF4CC9"/>
    <w:rsid w:val="00BF6ED4"/>
    <w:rsid w:val="00C17598"/>
    <w:rsid w:val="00C21DE3"/>
    <w:rsid w:val="00C22954"/>
    <w:rsid w:val="00C22DE8"/>
    <w:rsid w:val="00C23B50"/>
    <w:rsid w:val="00C23BFB"/>
    <w:rsid w:val="00C3705C"/>
    <w:rsid w:val="00C530B1"/>
    <w:rsid w:val="00C55F0D"/>
    <w:rsid w:val="00C56010"/>
    <w:rsid w:val="00C7405B"/>
    <w:rsid w:val="00C74FDD"/>
    <w:rsid w:val="00C81366"/>
    <w:rsid w:val="00C81590"/>
    <w:rsid w:val="00C81B48"/>
    <w:rsid w:val="00CA4972"/>
    <w:rsid w:val="00CB0A85"/>
    <w:rsid w:val="00CB0FA3"/>
    <w:rsid w:val="00CB5576"/>
    <w:rsid w:val="00CE044F"/>
    <w:rsid w:val="00CF0696"/>
    <w:rsid w:val="00D05B00"/>
    <w:rsid w:val="00D20796"/>
    <w:rsid w:val="00D265DE"/>
    <w:rsid w:val="00D76E2B"/>
    <w:rsid w:val="00D96F1B"/>
    <w:rsid w:val="00DB5BF4"/>
    <w:rsid w:val="00DC11BD"/>
    <w:rsid w:val="00DC3474"/>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E40AD"/>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8" type="connector" idref="#Прямая со стрелкой 56"/>
        <o:r id="V:Rule49" type="connector" idref="#Прямая со стрелкой 68"/>
        <o:r id="V:Rule50" type="connector" idref="#Прямая со стрелкой 13"/>
        <o:r id="V:Rule51" type="connector" idref="#Прямая со стрелкой 41"/>
        <o:r id="V:Rule52" type="connector" idref="#Прямая со стрелкой 36"/>
        <o:r id="V:Rule53" type="connector" idref="#Прямая со стрелкой 33"/>
        <o:r id="V:Rule54" type="connector" idref="#Прямая со стрелкой 40"/>
        <o:r id="V:Rule55" type="connector" idref="#Прямая со стрелкой 297"/>
        <o:r id="V:Rule56" type="connector" idref="#Прямая со стрелкой 21"/>
        <o:r id="V:Rule57" type="connector" idref="#Прямая со стрелкой 94"/>
        <o:r id="V:Rule58" type="connector" idref="#Прямая со стрелкой 48"/>
        <o:r id="V:Rule59" type="connector" idref="#Прямая со стрелкой 291"/>
        <o:r id="V:Rule60" type="connector" idref="#Прямая со стрелкой 22"/>
        <o:r id="V:Rule61" type="connector" idref="#Прямая со стрелкой 53"/>
        <o:r id="V:Rule62" type="connector" idref="#Прямая со стрелкой 55"/>
        <o:r id="V:Rule63" type="connector" idref="#Прямая со стрелкой 8"/>
        <o:r id="V:Rule64" type="connector" idref="#Прямая со стрелкой 7"/>
        <o:r id="V:Rule65" type="connector" idref="#Прямая со стрелкой 24"/>
        <o:r id="V:Rule66" type="connector" idref="#Прямая со стрелкой 20"/>
        <o:r id="V:Rule67" type="connector" idref="#Прямая со стрелкой 4"/>
        <o:r id="V:Rule68" type="connector" idref="#Прямая со стрелкой 62"/>
        <o:r id="V:Rule69" type="connector" idref="#Соединительная линия уступом 72"/>
        <o:r id="V:Rule70" type="connector" idref="#Прямая со стрелкой 75"/>
        <o:r id="V:Rule71" type="connector" idref="#Прямая со стрелкой 14"/>
        <o:r id="V:Rule72" type="connector" idref="#Прямая со стрелкой 15"/>
        <o:r id="V:Rule73" type="connector" idref="#Прямая со стрелкой 32"/>
        <o:r id="V:Rule74" type="connector" idref="#Прямая со стрелкой 78"/>
        <o:r id="V:Rule75" type="connector" idref="#Прямая со стрелкой 35"/>
        <o:r id="V:Rule76" type="connector" idref="#Прямая со стрелкой 26"/>
        <o:r id="V:Rule77" type="connector" idref="#Прямая со стрелкой 45"/>
        <o:r id="V:Rule78" type="connector" idref="#Прямая со стрелкой 28"/>
        <o:r id="V:Rule79" type="connector" idref="#Прямая со стрелкой 50"/>
        <o:r id="V:Rule80" type="connector" idref="#Прямая со стрелкой 80"/>
        <o:r id="V:Rule81" type="connector" idref="#Прямая со стрелкой 54"/>
        <o:r id="V:Rule82" type="connector" idref="#Прямая со стрелкой 11"/>
        <o:r id="V:Rule83" type="connector" idref="#Прямая со стрелкой 3"/>
        <o:r id="V:Rule84" type="connector" idref="#Прямая со стрелкой 43"/>
        <o:r id="V:Rule85" type="connector" idref="#Прямая со стрелкой 17"/>
        <o:r id="V:Rule86" type="connector" idref="#Прямая со стрелкой 83"/>
        <o:r id="V:Rule87" type="connector" idref="#Прямая со стрелкой 70"/>
        <o:r id="V:Rule88" type="connector" idref="#Прямая со стрелкой 66"/>
        <o:r id="V:Rule89" type="connector" idref="#Прямая со стрелкой 23"/>
        <o:r id="V:Rule90" type="connector" idref="#Прямая со стрелкой 47"/>
        <o:r id="V:Rule91" type="connector" idref="#Прямая со стрелкой 30"/>
        <o:r id="V:Rule92" type="connector" idref="#Прямая со стрелкой 63"/>
        <o:r id="V:Rule93" type="connector" idref="#Прямая со стрелкой 60"/>
        <o:r id="V:Rule94"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 Spacing"/>
    <w:uiPriority w:val="1"/>
    <w:qFormat/>
    <w:rsid w:val="00BE14B3"/>
    <w:pPr>
      <w:spacing w:after="0" w:line="240" w:lineRule="auto"/>
    </w:pPr>
    <w:rPr>
      <w:rFonts w:ascii="Times New Roman" w:eastAsia="Calibri" w:hAnsi="Times New Roman" w:cs="Times New Roman"/>
      <w:color w:val="444444"/>
      <w:sz w:val="28"/>
      <w:szCs w:val="28"/>
    </w:rPr>
  </w:style>
  <w:style w:type="character" w:customStyle="1" w:styleId="FontStyle11">
    <w:name w:val="Font Style11"/>
    <w:uiPriority w:val="99"/>
    <w:rsid w:val="00BE14B3"/>
    <w:rPr>
      <w:rFonts w:ascii="Times New Roman" w:hAnsi="Times New Roman" w:cs="Times New Roman"/>
      <w:sz w:val="26"/>
      <w:szCs w:val="26"/>
    </w:rPr>
  </w:style>
  <w:style w:type="character" w:customStyle="1" w:styleId="apple-converted-space">
    <w:name w:val="apple-converted-space"/>
    <w:basedOn w:val="a0"/>
    <w:rsid w:val="00BE1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65BB-0E99-4B55-AE92-DAE24DA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5128</TotalTime>
  <Pages>40</Pages>
  <Words>14292</Words>
  <Characters>81465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32</cp:revision>
  <cp:lastPrinted>2015-10-07T09:43:00Z</cp:lastPrinted>
  <dcterms:created xsi:type="dcterms:W3CDTF">2015-05-13T13:08:00Z</dcterms:created>
  <dcterms:modified xsi:type="dcterms:W3CDTF">2015-10-08T04:33:00Z</dcterms:modified>
</cp:coreProperties>
</file>